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pBdr>
          <w:bottom w:val="single" w:sz="4" w:space="4" w:color="CCCCCC"/>
        </w:pBdr>
      </w:pPr>
      <w:r>
        <w:rPr>
          <w:rFonts w:ascii="Times New Roman" w:hAnsi="Times New Roman" w:eastAsia="Times New Roman" w:cs="Times New Roman"/>
          <w:b w:val="0"/>
          <w:i w:val="0"/>
          <w:color w:val="7A3B28"/>
          <w:sz w:val="17"/>
        </w:rPr>
        <w:t xml:space="preserve">ФОНД НАСЛЕДИЯ РУДОЛЬФА ХАЧАТРЯНА  ·  </w:t>
      </w:r>
      <w:r>
        <w:rPr>
          <w:rFonts w:ascii="Times New Roman" w:hAnsi="Times New Roman" w:eastAsia="Times New Roman" w:cs="Times New Roman"/>
          <w:b w:val="0"/>
          <w:i w:val="0"/>
          <w:color w:val="888888"/>
          <w:sz w:val="17"/>
        </w:rPr>
        <w:t>rudolfart.com</w:t>
      </w:r>
    </w:p>
    <w:p>
      <w:pPr>
        <w:spacing w:after="40"/>
      </w:pPr>
      <w:r>
        <w:rPr>
          <w:rFonts w:ascii="Times New Roman" w:hAnsi="Times New Roman" w:eastAsia="Times New Roman" w:cs="Times New Roman"/>
          <w:b/>
          <w:i w:val="0"/>
          <w:color w:val="7A3B28"/>
          <w:sz w:val="32"/>
        </w:rPr>
        <w:t>Арутюнян М.</w:t>
      </w:r>
    </w:p>
    <w:p>
      <w:pPr>
        <w:spacing w:after="280"/>
      </w:pPr>
      <w:r>
        <w:rPr>
          <w:rFonts w:ascii="Times New Roman" w:hAnsi="Times New Roman" w:eastAsia="Times New Roman" w:cs="Times New Roman"/>
          <w:b w:val="0"/>
          <w:i/>
          <w:color w:val="555555"/>
          <w:sz w:val="25"/>
        </w:rPr>
        <w:t>Формула Человека</w:t>
      </w:r>
    </w:p>
    <w:p>
      <w:pPr>
        <w:spacing w:after="400"/>
      </w:pPr>
      <w:r>
        <w:rPr>
          <w:rFonts w:ascii="Times New Roman" w:hAnsi="Times New Roman" w:eastAsia="Times New Roman" w:cs="Times New Roman"/>
          <w:b w:val="0"/>
          <w:i/>
          <w:color w:val="888888"/>
          <w:sz w:val="18"/>
        </w:rPr>
        <w:t>Республика Армения (Айастани Анрапетутюн) · 1997 · Оригинал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Примерно год назад в интервью московскому корреспонденту армянский художник Рудольф Хачатрян сказал, что времена, когда великих художников признавали только лишь после смерти, давно канули в Лету. Ныне, отметил он, в век информатики, талантливый человек не может остаться в тени. Не знаю; быть может, многие не согласятся с его словами, но сам Рудольф Хачатрян благополучно пожинает плоды своей славы. Талант, самобытность армянского художника признали не только на его родине, но и далеко за её пределами.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Ныне Рудольфу Хачатряну — 60. Всего 60, а за плечами уже лавры признания и... безбедная жизнь, столь необходимая свободному художнику. Жизнь, вкус которой не почувствовали многие из великих. Быть может, Рудольф Хачатрян прав — огромные возможности информации сделали своё дело, а быть может, ему просто повезло... Как бы то ни было, закономерность ли это или везение, мы очень рады, что его талант проложил себе дорогу.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10 октября в Национальной галерее Армении открылась долгожданная выставка. Рудольф Хачатрян представил армянскому зрителю плоды своего творчества последних 6—7 лет. Такого интереса к новой выставке, такого паломничества поклонников галерея не видела давно.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О творчестве Хачатряна говорить сложно. Его надо видеть. И смотрят его активно, с большим интересом в разных уголках мира. Его яркий талант заметили, признали и приняли, несмотря на фантастическое воображение, со страшной силой выливающееся на зрителя с каждой его картиной.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На осмотр выставки даже небольшого количества работ художника требуется очень много времени. Его произведения мало смотреть, их нужно прочувствовать и понять. Каждая работа здесь заключает в себе философию, историю, время.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О чём работы художника? Конечно же, о человеке. Человек-художник пытается разобраться в человеке, созданном Богом. Пытается постичь непостижимое, понять непонятное, увидеть невидимое. Он пытается человеческим разумом понять чувства человека. В его картинах в одном и том же теле уживаются два начала — мужское и женское. Художник усмотрел их вместе в каждом живущем на Земле. Два «я» одного человека, единство противоположностей — философия, восходящая к мифологии. Художник уверен, что мифология — основа искусства XXI века, так же, как это было в прошлом: «XXI век — век новой мифологии, безусловно контактирующей со старой».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Выставка мастера посвящена многомерным объектам. Рудольф Хачатрян продолжил дело своего учителя Ерванда 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Кочара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, который ещё в 30-е годы в Париже создавал свою трёхмерную живопись. Продолжил по-своему, придя к гармонии многомерных объектов. В последних также усматривается обращение к мифологии, восхождение к доарийским богам, к Шиве, погружённому в созерцание.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Его скульптуры можно рассматривать с любой точки, в любом ракурсе, вверх ногами. Чисто условно они закреплены в определённой позиции. Объекты могут совершать взаимопереходы. Здесь время, пространство связаны друг с другом. Здесь входит в силу понятие четвёртого измерения. «А может, и пятого, и шестого, — продолжает мысль художник, — это скрыто внутри меня. Вопрос о том, чтобы найти секрет n-мерных измерений, тревожил умы многих художников во все времена. Это же мучило и Пикассо, однако постичь сей секрет ему не удалось». Его работы могут нравиться и не нравиться, но равнодушными не оставят никого. Они не призваны ласкать взор, они действуют на разум, вкрадываются в душу, остаются в памяти.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Маргарита АРУТЮНЯН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134" w:right="567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Pub-0208 · Арутюнян М. · 1997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https://rudolfart.com/publications/Pub-0208?lang=ru</w:t>
      </w:r>
    </w:hyperlink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Pub-0208 · Арутюнян М. · 1997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https://rudolfart.com/publications/Pub-0208?lang=ru</w:t>
      </w:r>
    </w:hyperlink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  <w:pBdr>
        <w:bottom w:val="single" w:sz="4" w:space="4" w:color="CCCCCC"/>
      </w:pBdr>
    </w:pPr>
    <w:r>
      <w:rPr>
        <w:rFonts w:ascii="Times New Roman" w:hAnsi="Times New Roman" w:eastAsia="Times New Roman" w:cs="Times New Roman"/>
        <w:b w:val="0"/>
        <w:i w:val="0"/>
        <w:color w:val="7A3B28"/>
        <w:sz w:val="17"/>
      </w:rPr>
      <w:t xml:space="preserve">ФОНД НАСЛЕДИЯ РУДОЛЬФА ХАЧАТРЯНА  ·  </w:t>
    </w:r>
    <w:r>
      <w:rPr>
        <w:rFonts w:ascii="Times New Roman" w:hAnsi="Times New Roman" w:eastAsia="Times New Roman" w:cs="Times New Roman"/>
        <w:b w:val="0"/>
        <w:i w:val="0"/>
        <w:color w:val="888888"/>
        <w:sz w:val="17"/>
      </w:rPr>
      <w:t>rudolfart.com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print"/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276" w:after="120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208?lang=ru" TargetMode="External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208?lang=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https://rudolfart.com/publications/Pub-0208?lang=ru</dc:subject>
  <dc:creator>python-docx</dc:creator>
  <cp:keywords>Rudolf Khachatryan; rudolfart.com</cp:keywords>
  <dc:description>Source: https://rudolfart.com/publications/Pub-0208?lang=ru · Rudolf Khachatryan Digital Archive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